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sz w:val="36"/>
          <w:szCs w:val="36"/>
        </w:rPr>
      </w:pPr>
      <w:r>
        <w:rPr>
          <w:rFonts w:hint="eastAsia" w:ascii="黑体" w:hAnsi="黑体" w:eastAsia="黑体" w:cs="黑体"/>
          <w:b w:val="0"/>
          <w:bCs/>
          <w:sz w:val="32"/>
          <w:szCs w:val="32"/>
        </w:rPr>
        <w:t>附   件</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陕西省节约型机关创建评</w:t>
      </w:r>
      <w:r>
        <w:rPr>
          <w:rFonts w:hint="eastAsia" w:ascii="华文中宋" w:hAnsi="华文中宋" w:eastAsia="华文中宋" w:cs="华文中宋"/>
          <w:sz w:val="36"/>
          <w:szCs w:val="36"/>
          <w:lang w:eastAsia="zh-CN"/>
        </w:rPr>
        <w:t>价</w:t>
      </w:r>
      <w:r>
        <w:rPr>
          <w:rFonts w:hint="eastAsia" w:ascii="华文中宋" w:hAnsi="华文中宋" w:eastAsia="华文中宋" w:cs="华文中宋"/>
          <w:sz w:val="36"/>
          <w:szCs w:val="36"/>
        </w:rPr>
        <w:t>标准</w:t>
      </w:r>
    </w:p>
    <w:tbl>
      <w:tblPr>
        <w:tblStyle w:val="6"/>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20"/>
        <w:gridCol w:w="1409"/>
        <w:gridCol w:w="3195"/>
        <w:gridCol w:w="5775"/>
        <w:gridCol w:w="93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tcPr>
          <w:p>
            <w:pPr>
              <w:jc w:val="center"/>
              <w:rPr>
                <w:rFonts w:hint="eastAsia" w:ascii="华文中宋" w:hAnsi="华文中宋" w:eastAsia="华文中宋" w:cs="华文中宋"/>
                <w:sz w:val="24"/>
                <w:lang w:eastAsia="zh-CN"/>
              </w:rPr>
            </w:pPr>
            <w:r>
              <w:rPr>
                <w:rFonts w:hint="eastAsia" w:ascii="华文中宋" w:hAnsi="华文中宋" w:eastAsia="华文中宋" w:cs="华文中宋"/>
                <w:sz w:val="24"/>
                <w:lang w:eastAsia="zh-CN"/>
              </w:rPr>
              <w:t>序号</w:t>
            </w:r>
          </w:p>
        </w:tc>
        <w:tc>
          <w:tcPr>
            <w:tcW w:w="1320" w:type="dxa"/>
          </w:tcPr>
          <w:p>
            <w:pPr>
              <w:jc w:val="center"/>
              <w:rPr>
                <w:rFonts w:hint="eastAsia" w:ascii="华文中宋" w:hAnsi="华文中宋" w:eastAsia="华文中宋" w:cs="华文中宋"/>
                <w:sz w:val="24"/>
              </w:rPr>
            </w:pPr>
            <w:r>
              <w:rPr>
                <w:rFonts w:hint="eastAsia" w:ascii="华文中宋" w:hAnsi="华文中宋" w:eastAsia="华文中宋" w:cs="华文中宋"/>
                <w:sz w:val="24"/>
              </w:rPr>
              <w:t>单元</w:t>
            </w:r>
          </w:p>
        </w:tc>
        <w:tc>
          <w:tcPr>
            <w:tcW w:w="1409" w:type="dxa"/>
          </w:tcPr>
          <w:p>
            <w:pPr>
              <w:jc w:val="center"/>
              <w:rPr>
                <w:rFonts w:ascii="华文中宋" w:hAnsi="华文中宋" w:eastAsia="华文中宋" w:cs="华文中宋"/>
                <w:sz w:val="24"/>
              </w:rPr>
            </w:pPr>
            <w:r>
              <w:rPr>
                <w:rFonts w:hint="eastAsia" w:ascii="华文中宋" w:hAnsi="华文中宋" w:eastAsia="华文中宋" w:cs="华文中宋"/>
                <w:sz w:val="24"/>
              </w:rPr>
              <w:t>项目</w:t>
            </w:r>
          </w:p>
        </w:tc>
        <w:tc>
          <w:tcPr>
            <w:tcW w:w="3195" w:type="dxa"/>
          </w:tcPr>
          <w:p>
            <w:pPr>
              <w:jc w:val="center"/>
              <w:rPr>
                <w:rFonts w:ascii="华文中宋" w:hAnsi="华文中宋" w:eastAsia="华文中宋" w:cs="华文中宋"/>
                <w:sz w:val="24"/>
              </w:rPr>
            </w:pPr>
            <w:r>
              <w:rPr>
                <w:rFonts w:hint="eastAsia" w:ascii="华文中宋" w:hAnsi="华文中宋" w:eastAsia="华文中宋" w:cs="华文中宋"/>
                <w:sz w:val="24"/>
              </w:rPr>
              <w:t>评</w:t>
            </w:r>
            <w:r>
              <w:rPr>
                <w:rFonts w:hint="eastAsia" w:ascii="华文中宋" w:hAnsi="华文中宋" w:eastAsia="华文中宋" w:cs="华文中宋"/>
                <w:sz w:val="24"/>
                <w:lang w:eastAsia="zh-CN"/>
              </w:rPr>
              <w:t>分</w:t>
            </w:r>
            <w:r>
              <w:rPr>
                <w:rFonts w:hint="eastAsia" w:ascii="华文中宋" w:hAnsi="华文中宋" w:eastAsia="华文中宋" w:cs="华文中宋"/>
                <w:sz w:val="24"/>
              </w:rPr>
              <w:t>要</w:t>
            </w:r>
            <w:r>
              <w:rPr>
                <w:rFonts w:hint="eastAsia" w:ascii="华文中宋" w:hAnsi="华文中宋" w:eastAsia="华文中宋" w:cs="华文中宋"/>
                <w:sz w:val="24"/>
                <w:lang w:eastAsia="zh-CN"/>
              </w:rPr>
              <w:t>求</w:t>
            </w:r>
          </w:p>
        </w:tc>
        <w:tc>
          <w:tcPr>
            <w:tcW w:w="5775" w:type="dxa"/>
          </w:tcPr>
          <w:p>
            <w:pPr>
              <w:jc w:val="center"/>
              <w:rPr>
                <w:rFonts w:ascii="华文中宋" w:hAnsi="华文中宋" w:eastAsia="华文中宋" w:cs="华文中宋"/>
                <w:sz w:val="24"/>
              </w:rPr>
            </w:pPr>
            <w:r>
              <w:rPr>
                <w:rFonts w:hint="eastAsia" w:ascii="华文中宋" w:hAnsi="华文中宋" w:eastAsia="华文中宋" w:cs="华文中宋"/>
                <w:sz w:val="24"/>
              </w:rPr>
              <w:t>评</w:t>
            </w:r>
            <w:r>
              <w:rPr>
                <w:rFonts w:hint="eastAsia" w:ascii="华文中宋" w:hAnsi="华文中宋" w:eastAsia="华文中宋" w:cs="华文中宋"/>
                <w:sz w:val="24"/>
                <w:lang w:eastAsia="zh-CN"/>
              </w:rPr>
              <w:t>分</w:t>
            </w:r>
            <w:r>
              <w:rPr>
                <w:rFonts w:hint="eastAsia" w:ascii="华文中宋" w:hAnsi="华文中宋" w:eastAsia="华文中宋" w:cs="华文中宋"/>
                <w:sz w:val="24"/>
              </w:rPr>
              <w:t>规则</w:t>
            </w:r>
          </w:p>
        </w:tc>
        <w:tc>
          <w:tcPr>
            <w:tcW w:w="930" w:type="dxa"/>
          </w:tcPr>
          <w:p>
            <w:pPr>
              <w:jc w:val="center"/>
              <w:rPr>
                <w:rFonts w:hint="eastAsia" w:ascii="华文中宋" w:hAnsi="华文中宋" w:eastAsia="华文中宋" w:cs="华文中宋"/>
                <w:sz w:val="24"/>
                <w:lang w:eastAsia="zh-CN"/>
              </w:rPr>
            </w:pPr>
            <w:r>
              <w:rPr>
                <w:rFonts w:hint="eastAsia" w:ascii="华文中宋" w:hAnsi="华文中宋" w:eastAsia="华文中宋" w:cs="华文中宋"/>
                <w:sz w:val="24"/>
                <w:lang w:eastAsia="zh-CN"/>
              </w:rPr>
              <w:t>分值</w:t>
            </w:r>
          </w:p>
        </w:tc>
        <w:tc>
          <w:tcPr>
            <w:tcW w:w="825" w:type="dxa"/>
          </w:tcPr>
          <w:p>
            <w:pPr>
              <w:jc w:val="center"/>
              <w:rPr>
                <w:rFonts w:ascii="华文中宋" w:hAnsi="华文中宋" w:eastAsia="华文中宋" w:cs="华文中宋"/>
                <w:sz w:val="24"/>
              </w:rPr>
            </w:pPr>
            <w:r>
              <w:rPr>
                <w:rFonts w:hint="eastAsia" w:ascii="华文中宋" w:hAnsi="华文中宋" w:eastAsia="华文中宋" w:cs="华文中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p>
            <w:pPr>
              <w:spacing w:line="300" w:lineRule="exact"/>
              <w:jc w:val="center"/>
              <w:rPr>
                <w:rFonts w:ascii="仿宋_GB2312" w:hAnsi="仿宋_GB2312" w:eastAsia="仿宋_GB2312" w:cs="仿宋_GB2312"/>
                <w:sz w:val="24"/>
              </w:rPr>
            </w:pPr>
          </w:p>
        </w:tc>
        <w:tc>
          <w:tcPr>
            <w:tcW w:w="1320"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强</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化</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目</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标</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管</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理</w:t>
            </w:r>
          </w:p>
        </w:tc>
        <w:tc>
          <w:tcPr>
            <w:tcW w:w="1409" w:type="dxa"/>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节约能源资源目标管理</w:t>
            </w:r>
          </w:p>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(10分）</w:t>
            </w:r>
          </w:p>
        </w:tc>
        <w:tc>
          <w:tcPr>
            <w:tcW w:w="3195" w:type="dxa"/>
            <w:vAlign w:val="center"/>
          </w:tcPr>
          <w:p>
            <w:pPr>
              <w:spacing w:line="300" w:lineRule="exact"/>
              <w:jc w:val="both"/>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完成能源资源消耗量化指标</w:t>
            </w:r>
          </w:p>
        </w:tc>
        <w:tc>
          <w:tcPr>
            <w:tcW w:w="5775" w:type="dxa"/>
            <w:vAlign w:val="center"/>
          </w:tcPr>
          <w:p>
            <w:pPr>
              <w:numPr>
                <w:ilvl w:val="0"/>
                <w:numId w:val="0"/>
              </w:numPr>
              <w:spacing w:line="300" w:lineRule="exact"/>
              <w:jc w:val="both"/>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县级及以上党政机关完成上级或同级主管部门下达的单位建筑面积能源消耗、人均综合能耗、人均水资源消耗年度指标得10分。其中完成单位建筑面积能耗、人均能源消耗年度指标各得3.5分，人均水资源消耗得3分。</w:t>
            </w:r>
          </w:p>
        </w:tc>
        <w:tc>
          <w:tcPr>
            <w:tcW w:w="930"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10分</w:t>
            </w:r>
          </w:p>
        </w:tc>
        <w:tc>
          <w:tcPr>
            <w:tcW w:w="82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p>
        </w:tc>
        <w:tc>
          <w:tcPr>
            <w:tcW w:w="1320" w:type="dxa"/>
            <w:vMerge w:val="restart"/>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健</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全</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制</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度</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体</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系</w:t>
            </w:r>
          </w:p>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管理机构</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分）</w:t>
            </w:r>
          </w:p>
        </w:tc>
        <w:tc>
          <w:tcPr>
            <w:tcW w:w="3195" w:type="dxa"/>
            <w:vAlign w:val="center"/>
          </w:tcPr>
          <w:p>
            <w:pPr>
              <w:numPr>
                <w:ilvl w:val="0"/>
                <w:numId w:val="0"/>
              </w:numPr>
              <w:spacing w:line="3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明确负责节约能源资源工作的管理机构和工作职责，设置能源资源管理岗位</w:t>
            </w:r>
          </w:p>
        </w:tc>
        <w:tc>
          <w:tcPr>
            <w:tcW w:w="5775" w:type="dxa"/>
          </w:tcPr>
          <w:p>
            <w:pPr>
              <w:numPr>
                <w:ilvl w:val="0"/>
                <w:numId w:val="1"/>
              </w:numPr>
              <w:spacing w:line="3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建立创建工作领导小组并设立办公室,完成一项得0.5分,累计1分。</w:t>
            </w:r>
          </w:p>
          <w:p>
            <w:pPr>
              <w:numPr>
                <w:ilvl w:val="0"/>
                <w:numId w:val="0"/>
              </w:numPr>
              <w:spacing w:line="3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2.明确负责节约能源资源工作部门和工作职责,完成一项得1分，累计2分。</w:t>
            </w:r>
          </w:p>
          <w:p>
            <w:pPr>
              <w:numPr>
                <w:ilvl w:val="0"/>
                <w:numId w:val="2"/>
              </w:numPr>
              <w:spacing w:line="3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设立节能联络员并上报备案得1分。</w:t>
            </w:r>
          </w:p>
          <w:p>
            <w:pPr>
              <w:numPr>
                <w:ilvl w:val="0"/>
                <w:numId w:val="2"/>
              </w:numPr>
              <w:spacing w:line="3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设立能源资源管理岗位得1.5分；有专人负责得1.5分。</w:t>
            </w:r>
          </w:p>
        </w:tc>
        <w:tc>
          <w:tcPr>
            <w:tcW w:w="930" w:type="dxa"/>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21分</w:t>
            </w:r>
          </w:p>
        </w:tc>
        <w:tc>
          <w:tcPr>
            <w:tcW w:w="825"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管理制度</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分）</w:t>
            </w:r>
          </w:p>
        </w:tc>
        <w:tc>
          <w:tcPr>
            <w:tcW w:w="3195" w:type="dxa"/>
            <w:vAlign w:val="center"/>
          </w:tcPr>
          <w:p>
            <w:pPr>
              <w:pStyle w:val="7"/>
              <w:spacing w:line="300" w:lineRule="exact"/>
              <w:ind w:firstLine="0" w:firstLineChars="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制定并实施合理的节约能源资源管理制度，按规定开展各项工作</w:t>
            </w:r>
          </w:p>
          <w:p>
            <w:pPr>
              <w:spacing w:line="300" w:lineRule="exact"/>
              <w:jc w:val="both"/>
              <w:rPr>
                <w:rFonts w:ascii="仿宋_GB2312" w:hAnsi="仿宋_GB2312" w:eastAsia="仿宋_GB2312" w:cs="仿宋_GB2312"/>
                <w:sz w:val="24"/>
              </w:rPr>
            </w:pPr>
          </w:p>
        </w:tc>
        <w:tc>
          <w:tcPr>
            <w:tcW w:w="5775" w:type="dxa"/>
          </w:tcPr>
          <w:p>
            <w:pPr>
              <w:numPr>
                <w:ilvl w:val="0"/>
                <w:numId w:val="3"/>
              </w:numPr>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w:t>
            </w:r>
            <w:r>
              <w:rPr>
                <w:rFonts w:hint="eastAsia" w:ascii="仿宋_GB2312" w:hAnsi="仿宋_GB2312" w:eastAsia="仿宋_GB2312" w:cs="仿宋_GB2312"/>
                <w:color w:val="000000"/>
                <w:sz w:val="24"/>
                <w:szCs w:val="24"/>
                <w:lang w:eastAsia="zh-CN"/>
              </w:rPr>
              <w:t>年度</w:t>
            </w:r>
            <w:r>
              <w:rPr>
                <w:rFonts w:hint="eastAsia" w:ascii="仿宋_GB2312" w:hAnsi="仿宋_GB2312" w:eastAsia="仿宋_GB2312" w:cs="仿宋_GB2312"/>
                <w:color w:val="000000"/>
                <w:sz w:val="24"/>
                <w:szCs w:val="24"/>
              </w:rPr>
              <w:t>节约能源资源实施方案，并明确年度节约能源资源目标得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只有方案没有明确目标得</w:t>
            </w:r>
            <w:r>
              <w:rPr>
                <w:rFonts w:hint="eastAsia" w:ascii="仿宋_GB2312" w:hAnsi="仿宋_GB2312" w:eastAsia="仿宋_GB2312" w:cs="仿宋_GB2312"/>
                <w:color w:val="000000"/>
                <w:sz w:val="24"/>
                <w:szCs w:val="24"/>
                <w:lang w:val="en-US" w:eastAsia="zh-CN"/>
              </w:rPr>
              <w:t>1分。</w:t>
            </w:r>
          </w:p>
          <w:p>
            <w:pPr>
              <w:numPr>
                <w:ilvl w:val="0"/>
                <w:numId w:val="3"/>
              </w:numPr>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制定能源资源消费统计、定额管理、节能、节水、生活垃圾分类、绿色消费以及用能设备设施节能操作规程等节约能源资源管理制度，制定一</w:t>
            </w:r>
            <w:r>
              <w:rPr>
                <w:rFonts w:hint="eastAsia" w:ascii="仿宋_GB2312" w:hAnsi="仿宋_GB2312" w:eastAsia="仿宋_GB2312" w:cs="仿宋_GB2312"/>
                <w:color w:val="000000"/>
                <w:sz w:val="24"/>
                <w:szCs w:val="24"/>
                <w:lang w:val="en-US" w:eastAsia="zh-CN"/>
              </w:rPr>
              <w:t>项得0.5分，最高得2分。</w:t>
            </w:r>
          </w:p>
          <w:p>
            <w:pPr>
              <w:numPr>
                <w:ilvl w:val="0"/>
                <w:numId w:val="3"/>
              </w:numPr>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通过规章制度或合同约定，对物业管理提出能源资源节约管理目标和服务要求，得2分。</w:t>
            </w:r>
          </w:p>
          <w:p>
            <w:pPr>
              <w:numPr>
                <w:ilvl w:val="0"/>
                <w:numId w:val="3"/>
              </w:numPr>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按照《公共机构能源资源计量器具配备和管理要求》，实行能源资源分户、分区、分项计量，建立能源资源消费计量器具台账，落实一项得1分，最高得4分。</w:t>
            </w:r>
          </w:p>
          <w:p>
            <w:pPr>
              <w:numPr>
                <w:ilvl w:val="0"/>
                <w:numId w:val="3"/>
              </w:numPr>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按照《公共机构能源资源消费统计调查制度》要求，建立能源资源消费统计台账，定期报送、分析和公示能源资源消费状况，落实一项得1分，最高得4分。</w:t>
            </w:r>
          </w:p>
        </w:tc>
        <w:tc>
          <w:tcPr>
            <w:tcW w:w="930" w:type="dxa"/>
            <w:vMerge w:val="continue"/>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320"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推</w:t>
            </w:r>
          </w:p>
          <w:p>
            <w:pPr>
              <w:jc w:val="center"/>
              <w:rPr>
                <w:rFonts w:ascii="仿宋_GB2312" w:hAnsi="仿宋_GB2312" w:eastAsia="仿宋_GB2312" w:cs="仿宋_GB2312"/>
                <w:sz w:val="24"/>
              </w:rPr>
            </w:pPr>
            <w:r>
              <w:rPr>
                <w:rFonts w:hint="eastAsia" w:ascii="仿宋_GB2312" w:hAnsi="仿宋_GB2312" w:eastAsia="仿宋_GB2312" w:cs="仿宋_GB2312"/>
                <w:sz w:val="24"/>
              </w:rPr>
              <w:t>行</w:t>
            </w:r>
          </w:p>
          <w:p>
            <w:pPr>
              <w:jc w:val="center"/>
              <w:rPr>
                <w:rFonts w:ascii="仿宋_GB2312" w:hAnsi="仿宋_GB2312" w:eastAsia="仿宋_GB2312" w:cs="仿宋_GB2312"/>
                <w:sz w:val="24"/>
              </w:rPr>
            </w:pPr>
            <w:r>
              <w:rPr>
                <w:rFonts w:hint="eastAsia" w:ascii="仿宋_GB2312" w:hAnsi="仿宋_GB2312" w:eastAsia="仿宋_GB2312" w:cs="仿宋_GB2312"/>
                <w:sz w:val="24"/>
              </w:rPr>
              <w:t>绿</w:t>
            </w:r>
          </w:p>
          <w:p>
            <w:pPr>
              <w:jc w:val="center"/>
              <w:rPr>
                <w:rFonts w:ascii="仿宋_GB2312" w:hAnsi="仿宋_GB2312" w:eastAsia="仿宋_GB2312" w:cs="仿宋_GB2312"/>
                <w:sz w:val="24"/>
              </w:rPr>
            </w:pPr>
            <w:r>
              <w:rPr>
                <w:rFonts w:hint="eastAsia" w:ascii="仿宋_GB2312" w:hAnsi="仿宋_GB2312" w:eastAsia="仿宋_GB2312" w:cs="仿宋_GB2312"/>
                <w:sz w:val="24"/>
              </w:rPr>
              <w:t>色</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w:t>
            </w: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行为节约</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rPr>
              <w:t>分）</w:t>
            </w:r>
          </w:p>
        </w:tc>
        <w:tc>
          <w:tcPr>
            <w:tcW w:w="3195" w:type="dxa"/>
            <w:vAlign w:val="center"/>
          </w:tcPr>
          <w:p>
            <w:pPr>
              <w:spacing w:line="3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完善推行行为节约绿色办公制度及举措</w:t>
            </w:r>
          </w:p>
        </w:tc>
        <w:tc>
          <w:tcPr>
            <w:tcW w:w="5775" w:type="dxa"/>
          </w:tcPr>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推进</w:t>
            </w:r>
            <w:r>
              <w:rPr>
                <w:rFonts w:hint="eastAsia" w:ascii="仿宋_GB2312" w:hAnsi="仿宋_GB2312" w:eastAsia="仿宋_GB2312" w:cs="仿宋_GB2312"/>
                <w:color w:val="000000"/>
                <w:sz w:val="24"/>
                <w:szCs w:val="24"/>
              </w:rPr>
              <w:t>无纸化办公</w:t>
            </w:r>
            <w:r>
              <w:rPr>
                <w:rFonts w:hint="eastAsia" w:ascii="仿宋_GB2312" w:hAnsi="仿宋_GB2312" w:eastAsia="仿宋_GB2312" w:cs="仿宋_GB2312"/>
                <w:color w:val="000000"/>
                <w:sz w:val="24"/>
                <w:szCs w:val="24"/>
                <w:lang w:eastAsia="zh-CN"/>
              </w:rPr>
              <w:t>，应用</w:t>
            </w:r>
            <w:r>
              <w:rPr>
                <w:rFonts w:hint="eastAsia" w:ascii="仿宋_GB2312" w:hAnsi="仿宋_GB2312" w:eastAsia="仿宋_GB2312" w:cs="仿宋_GB2312"/>
                <w:color w:val="000000"/>
                <w:sz w:val="24"/>
                <w:szCs w:val="24"/>
                <w:lang w:val="en-US" w:eastAsia="zh-CN"/>
              </w:rPr>
              <w:t>0A办公系统，</w:t>
            </w:r>
            <w:r>
              <w:rPr>
                <w:rFonts w:hint="eastAsia" w:ascii="仿宋_GB2312" w:hAnsi="仿宋_GB2312" w:eastAsia="仿宋_GB2312" w:cs="仿宋_GB2312"/>
                <w:color w:val="000000"/>
                <w:sz w:val="24"/>
                <w:szCs w:val="24"/>
                <w:lang w:eastAsia="zh-CN"/>
              </w:rPr>
              <w:t>落实纸张双面打印，使用再生耗材等循环再生办公用品，落实一</w:t>
            </w:r>
            <w:r>
              <w:rPr>
                <w:rFonts w:hint="eastAsia" w:ascii="仿宋_GB2312" w:hAnsi="仿宋_GB2312" w:eastAsia="仿宋_GB2312" w:cs="仿宋_GB2312"/>
                <w:color w:val="000000"/>
                <w:sz w:val="24"/>
                <w:szCs w:val="24"/>
                <w:lang w:val="en-US" w:eastAsia="zh-CN"/>
              </w:rPr>
              <w:t>项得0.5分，最高得2.5分。</w:t>
            </w:r>
          </w:p>
          <w:p>
            <w:pPr>
              <w:pStyle w:val="7"/>
              <w:spacing w:line="300" w:lineRule="exact"/>
              <w:ind w:firstLine="0" w:firstLineChars="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2.实现高效照明光源使用率100%得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90%以上得1分。</w:t>
            </w:r>
          </w:p>
          <w:p>
            <w:pPr>
              <w:pStyle w:val="7"/>
              <w:spacing w:line="300" w:lineRule="exact"/>
              <w:ind w:firstLine="0" w:firstLineChars="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3.充分利用自然光，自然通风各得1分，共2分。</w:t>
            </w:r>
          </w:p>
          <w:p>
            <w:pPr>
              <w:pStyle w:val="7"/>
              <w:spacing w:line="300" w:lineRule="exact"/>
              <w:ind w:firstLine="0" w:firstLineChars="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4.执行夏季室内空调温度设置不低于26摄氏度，冬季室内温度不高于20摄氏度。且空调等能耗设备达到2级以上能效比得1.5分。</w:t>
            </w:r>
          </w:p>
          <w:p>
            <w:pPr>
              <w:pStyle w:val="7"/>
              <w:spacing w:line="300" w:lineRule="exact"/>
              <w:ind w:firstLine="0" w:firstLineChars="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5.节水型器具使用率达到100%得2分，90%以上得1分。采取有效节水管理措施得2分。</w:t>
            </w:r>
          </w:p>
          <w:p>
            <w:pPr>
              <w:pStyle w:val="7"/>
              <w:spacing w:line="300" w:lineRule="exact"/>
              <w:ind w:firstLine="0" w:firstLineChars="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 xml:space="preserve">6.实行数据中心能耗消费单独计量、核算得1分。                                                                                                     </w:t>
            </w:r>
            <w:r>
              <w:rPr>
                <w:rFonts w:hint="eastAsia" w:ascii="仿宋_GB2312" w:hAnsi="仿宋_GB2312" w:eastAsia="仿宋_GB2312" w:cs="仿宋_GB2312"/>
                <w:color w:val="000000"/>
                <w:sz w:val="24"/>
                <w:szCs w:val="24"/>
              </w:rPr>
              <w:t xml:space="preserve">                                                                                                                             </w:t>
            </w:r>
          </w:p>
        </w:tc>
        <w:tc>
          <w:tcPr>
            <w:tcW w:w="930" w:type="dxa"/>
            <w:vMerge w:val="restart"/>
            <w:vAlign w:val="center"/>
          </w:tcPr>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25分</w:t>
            </w: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绿色出行</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分）</w:t>
            </w:r>
          </w:p>
        </w:tc>
        <w:tc>
          <w:tcPr>
            <w:tcW w:w="3195" w:type="dxa"/>
            <w:vAlign w:val="center"/>
          </w:tcPr>
          <w:p>
            <w:pPr>
              <w:pStyle w:val="7"/>
              <w:spacing w:line="300" w:lineRule="exact"/>
              <w:ind w:firstLine="0" w:firstLineChars="0"/>
              <w:rPr>
                <w:rFonts w:ascii="仿宋_GB2312" w:hAnsi="仿宋_GB2312" w:eastAsia="仿宋_GB2312" w:cs="仿宋_GB2312"/>
                <w:sz w:val="24"/>
              </w:rPr>
            </w:pPr>
            <w:r>
              <w:rPr>
                <w:rFonts w:hint="eastAsia" w:ascii="仿宋_GB2312" w:hAnsi="仿宋_GB2312" w:eastAsia="仿宋_GB2312" w:cs="仿宋_GB2312"/>
                <w:color w:val="000000"/>
                <w:sz w:val="24"/>
                <w:szCs w:val="24"/>
              </w:rPr>
              <w:t>鼓励</w:t>
            </w:r>
            <w:r>
              <w:rPr>
                <w:rFonts w:hint="eastAsia" w:ascii="仿宋_GB2312" w:hAnsi="仿宋_GB2312" w:eastAsia="仿宋_GB2312" w:cs="仿宋_GB2312"/>
                <w:color w:val="000000"/>
                <w:sz w:val="24"/>
                <w:szCs w:val="24"/>
                <w:lang w:eastAsia="zh-CN"/>
              </w:rPr>
              <w:t>采取绿色出行</w:t>
            </w:r>
            <w:r>
              <w:rPr>
                <w:rFonts w:hint="eastAsia" w:ascii="仿宋_GB2312" w:hAnsi="仿宋_GB2312" w:eastAsia="仿宋_GB2312" w:cs="仿宋_GB2312"/>
                <w:color w:val="000000"/>
                <w:sz w:val="24"/>
                <w:szCs w:val="24"/>
              </w:rPr>
              <w:t>方式</w:t>
            </w:r>
            <w:r>
              <w:rPr>
                <w:rFonts w:hint="eastAsia" w:ascii="仿宋_GB2312" w:hAnsi="仿宋_GB2312" w:eastAsia="仿宋_GB2312" w:cs="仿宋_GB2312"/>
                <w:color w:val="000000"/>
                <w:sz w:val="24"/>
                <w:szCs w:val="24"/>
                <w:lang w:eastAsia="zh-CN"/>
              </w:rPr>
              <w:t>，强化</w:t>
            </w:r>
            <w:r>
              <w:rPr>
                <w:rFonts w:hint="eastAsia" w:ascii="仿宋_GB2312" w:hAnsi="仿宋_GB2312" w:eastAsia="仿宋_GB2312" w:cs="仿宋_GB2312"/>
                <w:color w:val="000000"/>
                <w:sz w:val="24"/>
              </w:rPr>
              <w:t>公务用车</w:t>
            </w:r>
            <w:r>
              <w:rPr>
                <w:rFonts w:hint="eastAsia" w:ascii="仿宋_GB2312" w:hAnsi="仿宋_GB2312" w:eastAsia="仿宋_GB2312" w:cs="仿宋_GB2312"/>
                <w:color w:val="000000"/>
                <w:sz w:val="24"/>
                <w:lang w:eastAsia="zh-CN"/>
              </w:rPr>
              <w:t>管理</w:t>
            </w:r>
          </w:p>
        </w:tc>
        <w:tc>
          <w:tcPr>
            <w:tcW w:w="5775" w:type="dxa"/>
            <w:vAlign w:val="center"/>
          </w:tcPr>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1.鼓励干部职工践行“135”等低碳出行方式得</w:t>
            </w:r>
            <w:r>
              <w:rPr>
                <w:rFonts w:hint="eastAsia" w:ascii="仿宋_GB2312" w:hAnsi="仿宋_GB2312" w:eastAsia="仿宋_GB2312" w:cs="仿宋_GB2312"/>
                <w:color w:val="000000"/>
                <w:sz w:val="24"/>
                <w:szCs w:val="24"/>
                <w:lang w:val="en-US" w:eastAsia="zh-CN"/>
              </w:rPr>
              <w:t>1分；每年提出绿色出行倡议得1分；具备专用共享单车停车点得1分。</w:t>
            </w:r>
          </w:p>
          <w:p>
            <w:pPr>
              <w:spacing w:line="300" w:lineRule="exact"/>
              <w:rPr>
                <w:rFonts w:ascii="仿宋_GB2312" w:hAnsi="仿宋_GB2312" w:eastAsia="仿宋_GB2312" w:cs="仿宋_GB2312"/>
                <w:sz w:val="24"/>
              </w:rPr>
            </w:pPr>
            <w:r>
              <w:rPr>
                <w:rFonts w:hint="eastAsia" w:ascii="仿宋_GB2312" w:hAnsi="仿宋_GB2312" w:eastAsia="仿宋_GB2312" w:cs="仿宋_GB2312"/>
                <w:color w:val="000000"/>
                <w:sz w:val="24"/>
              </w:rPr>
              <w:t>2.实行公务用车单车油耗核算得</w:t>
            </w:r>
            <w:r>
              <w:rPr>
                <w:rFonts w:hint="eastAsia" w:ascii="仿宋_GB2312" w:hAnsi="仿宋_GB2312" w:eastAsia="仿宋_GB2312" w:cs="仿宋_GB2312"/>
                <w:color w:val="000000"/>
                <w:sz w:val="24"/>
                <w:lang w:val="en-US" w:eastAsia="zh-CN"/>
              </w:rPr>
              <w:t>1.5分；建立落实车辆使用台账、一车一卡、定点停放、定点维修制度得1.5分。</w:t>
            </w:r>
          </w:p>
        </w:tc>
        <w:tc>
          <w:tcPr>
            <w:tcW w:w="930" w:type="dxa"/>
            <w:vMerge w:val="continue"/>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绿色采购</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分）</w:t>
            </w:r>
          </w:p>
        </w:tc>
        <w:tc>
          <w:tcPr>
            <w:tcW w:w="3195" w:type="dxa"/>
            <w:vAlign w:val="center"/>
          </w:tcPr>
          <w:p>
            <w:pPr>
              <w:pStyle w:val="7"/>
              <w:spacing w:line="300" w:lineRule="exact"/>
              <w:ind w:firstLine="0" w:firstLineChars="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实行绿色采购，使用节能环保产品</w:t>
            </w:r>
            <w:r>
              <w:rPr>
                <w:rFonts w:hint="eastAsia" w:ascii="仿宋_GB2312" w:hAnsi="仿宋_GB2312" w:eastAsia="仿宋_GB2312" w:cs="仿宋_GB2312"/>
                <w:sz w:val="24"/>
                <w:lang w:val="en-US" w:eastAsia="zh-CN"/>
              </w:rPr>
              <w:t xml:space="preserve">                                                                                                                                                                                                                                                                                                                                                                                                                                                                                                                                                  </w:t>
            </w:r>
          </w:p>
        </w:tc>
        <w:tc>
          <w:tcPr>
            <w:tcW w:w="5775" w:type="dxa"/>
            <w:vAlign w:val="center"/>
          </w:tcPr>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1.加大绿色采购力度，带头采购更多节能、节水、环保、再生、资源综合利用等绿色产品</w:t>
            </w:r>
            <w:r>
              <w:rPr>
                <w:rFonts w:hint="eastAsia" w:ascii="仿宋_GB2312" w:hAnsi="仿宋_GB2312" w:eastAsia="仿宋_GB2312" w:cs="仿宋_GB2312"/>
                <w:color w:val="000000"/>
                <w:sz w:val="24"/>
                <w:szCs w:val="24"/>
                <w:lang w:eastAsia="zh-CN"/>
              </w:rPr>
              <w:t>，落实一</w:t>
            </w:r>
            <w:r>
              <w:rPr>
                <w:rFonts w:hint="eastAsia" w:ascii="仿宋_GB2312" w:hAnsi="仿宋_GB2312" w:eastAsia="仿宋_GB2312" w:cs="仿宋_GB2312"/>
                <w:color w:val="000000"/>
                <w:sz w:val="24"/>
                <w:szCs w:val="24"/>
                <w:lang w:val="en-US" w:eastAsia="zh-CN"/>
              </w:rPr>
              <w:t>项得0.6分，最高得3分</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w:t>
            </w:r>
          </w:p>
          <w:p>
            <w:pPr>
              <w:pStyle w:val="7"/>
              <w:spacing w:line="300" w:lineRule="exact"/>
              <w:ind w:firstLine="0" w:firstLineChars="0"/>
              <w:rPr>
                <w:rFonts w:ascii="仿宋_GB2312" w:hAnsi="仿宋_GB2312" w:eastAsia="仿宋_GB2312" w:cs="仿宋_GB2312"/>
                <w:sz w:val="24"/>
              </w:rPr>
            </w:pPr>
            <w:r>
              <w:rPr>
                <w:rFonts w:hint="eastAsia" w:ascii="仿宋_GB2312" w:hAnsi="仿宋_GB2312" w:eastAsia="仿宋_GB2312" w:cs="仿宋_GB2312"/>
                <w:color w:val="000000"/>
                <w:sz w:val="24"/>
              </w:rPr>
              <w:t>2.更新公务用车优先采购新能源汽车得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r>
              <w:rPr>
                <w:rFonts w:hint="eastAsia" w:ascii="仿宋_GB2312" w:hAnsi="仿宋_GB2312" w:eastAsia="仿宋_GB2312" w:cs="仿宋_GB2312"/>
                <w:color w:val="000000"/>
                <w:sz w:val="24"/>
                <w:lang w:val="en-US" w:eastAsia="zh-CN"/>
              </w:rPr>
              <w:t>。</w:t>
            </w:r>
          </w:p>
        </w:tc>
        <w:tc>
          <w:tcPr>
            <w:tcW w:w="930" w:type="dxa"/>
            <w:vMerge w:val="continue"/>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320"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实</w:t>
            </w:r>
          </w:p>
          <w:p>
            <w:pPr>
              <w:jc w:val="center"/>
              <w:rPr>
                <w:rFonts w:ascii="仿宋_GB2312" w:hAnsi="仿宋_GB2312" w:eastAsia="仿宋_GB2312" w:cs="仿宋_GB2312"/>
                <w:sz w:val="24"/>
              </w:rPr>
            </w:pPr>
            <w:r>
              <w:rPr>
                <w:rFonts w:hint="eastAsia" w:ascii="仿宋_GB2312" w:hAnsi="仿宋_GB2312" w:eastAsia="仿宋_GB2312" w:cs="仿宋_GB2312"/>
                <w:sz w:val="24"/>
              </w:rPr>
              <w:t>行</w:t>
            </w:r>
          </w:p>
          <w:p>
            <w:pPr>
              <w:jc w:val="center"/>
              <w:rPr>
                <w:rFonts w:ascii="仿宋_GB2312" w:hAnsi="仿宋_GB2312" w:eastAsia="仿宋_GB2312" w:cs="仿宋_GB2312"/>
                <w:sz w:val="24"/>
              </w:rPr>
            </w:pPr>
            <w:r>
              <w:rPr>
                <w:rFonts w:hint="eastAsia" w:ascii="仿宋_GB2312" w:hAnsi="仿宋_GB2312" w:eastAsia="仿宋_GB2312" w:cs="仿宋_GB2312"/>
                <w:sz w:val="24"/>
              </w:rPr>
              <w:t>生</w:t>
            </w:r>
          </w:p>
          <w:p>
            <w:pPr>
              <w:jc w:val="center"/>
              <w:rPr>
                <w:rFonts w:ascii="仿宋_GB2312" w:hAnsi="仿宋_GB2312" w:eastAsia="仿宋_GB2312" w:cs="仿宋_GB2312"/>
                <w:sz w:val="24"/>
              </w:rPr>
            </w:pPr>
            <w:r>
              <w:rPr>
                <w:rFonts w:hint="eastAsia" w:ascii="仿宋_GB2312" w:hAnsi="仿宋_GB2312" w:eastAsia="仿宋_GB2312" w:cs="仿宋_GB2312"/>
                <w:sz w:val="24"/>
              </w:rPr>
              <w:t>活</w:t>
            </w:r>
          </w:p>
          <w:p>
            <w:pPr>
              <w:jc w:val="center"/>
              <w:rPr>
                <w:rFonts w:ascii="仿宋_GB2312" w:hAnsi="仿宋_GB2312" w:eastAsia="仿宋_GB2312" w:cs="仿宋_GB2312"/>
                <w:sz w:val="24"/>
              </w:rPr>
            </w:pPr>
            <w:r>
              <w:rPr>
                <w:rFonts w:hint="eastAsia" w:ascii="仿宋_GB2312" w:hAnsi="仿宋_GB2312" w:eastAsia="仿宋_GB2312" w:cs="仿宋_GB2312"/>
                <w:sz w:val="24"/>
              </w:rPr>
              <w:t>垃</w:t>
            </w:r>
          </w:p>
          <w:p>
            <w:pPr>
              <w:jc w:val="center"/>
              <w:rPr>
                <w:rFonts w:ascii="仿宋_GB2312" w:hAnsi="仿宋_GB2312" w:eastAsia="仿宋_GB2312" w:cs="仿宋_GB2312"/>
                <w:sz w:val="24"/>
              </w:rPr>
            </w:pPr>
            <w:r>
              <w:rPr>
                <w:rFonts w:hint="eastAsia" w:ascii="仿宋_GB2312" w:hAnsi="仿宋_GB2312" w:eastAsia="仿宋_GB2312" w:cs="仿宋_GB2312"/>
                <w:sz w:val="24"/>
              </w:rPr>
              <w:t>圾</w:t>
            </w:r>
          </w:p>
          <w:p>
            <w:pPr>
              <w:jc w:val="center"/>
              <w:rPr>
                <w:rFonts w:ascii="仿宋_GB2312" w:hAnsi="仿宋_GB2312" w:eastAsia="仿宋_GB2312" w:cs="仿宋_GB2312"/>
                <w:sz w:val="24"/>
              </w:rPr>
            </w:pPr>
            <w:r>
              <w:rPr>
                <w:rFonts w:hint="eastAsia" w:ascii="仿宋_GB2312" w:hAnsi="仿宋_GB2312" w:eastAsia="仿宋_GB2312" w:cs="仿宋_GB2312"/>
                <w:sz w:val="24"/>
              </w:rPr>
              <w:t>分</w:t>
            </w:r>
          </w:p>
          <w:p>
            <w:pPr>
              <w:jc w:val="center"/>
              <w:rPr>
                <w:rFonts w:ascii="仿宋_GB2312" w:hAnsi="仿宋_GB2312" w:eastAsia="仿宋_GB2312" w:cs="仿宋_GB2312"/>
                <w:sz w:val="24"/>
              </w:rPr>
            </w:pPr>
            <w:r>
              <w:rPr>
                <w:rFonts w:hint="eastAsia" w:ascii="仿宋_GB2312" w:hAnsi="仿宋_GB2312" w:eastAsia="仿宋_GB2312" w:cs="仿宋_GB2312"/>
                <w:sz w:val="24"/>
              </w:rPr>
              <w:t>类</w:t>
            </w:r>
          </w:p>
          <w:p>
            <w:pPr>
              <w:jc w:val="center"/>
              <w:rPr>
                <w:rFonts w:hint="eastAsia"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源头减量</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分）</w:t>
            </w:r>
          </w:p>
        </w:tc>
        <w:tc>
          <w:tcPr>
            <w:tcW w:w="3195" w:type="dxa"/>
            <w:vAlign w:val="center"/>
          </w:tcPr>
          <w:p>
            <w:pPr>
              <w:numPr>
                <w:ilvl w:val="0"/>
                <w:numId w:val="0"/>
              </w:numPr>
              <w:spacing w:line="3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推动生活垃圾源头减量</w:t>
            </w:r>
          </w:p>
        </w:tc>
        <w:tc>
          <w:tcPr>
            <w:tcW w:w="5775" w:type="dxa"/>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1.开展“光盘行动”</w:t>
            </w:r>
            <w:r>
              <w:rPr>
                <w:rFonts w:hint="eastAsia" w:ascii="仿宋_GB2312" w:hAnsi="仿宋_GB2312" w:eastAsia="仿宋_GB2312" w:cs="仿宋_GB2312"/>
                <w:sz w:val="24"/>
                <w:lang w:eastAsia="zh-CN"/>
              </w:rPr>
              <w:t>，旧物再利用</w:t>
            </w:r>
            <w:r>
              <w:rPr>
                <w:rFonts w:hint="eastAsia" w:ascii="仿宋_GB2312" w:hAnsi="仿宋_GB2312" w:eastAsia="仿宋_GB2312" w:cs="仿宋_GB2312"/>
                <w:sz w:val="24"/>
              </w:rPr>
              <w:t>等活动</w:t>
            </w:r>
            <w:r>
              <w:rPr>
                <w:rFonts w:hint="eastAsia" w:ascii="仿宋_GB2312" w:hAnsi="仿宋_GB2312" w:eastAsia="仿宋_GB2312" w:cs="仿宋_GB2312"/>
                <w:sz w:val="24"/>
                <w:lang w:eastAsia="zh-CN"/>
              </w:rPr>
              <w:t>各</w:t>
            </w:r>
            <w:r>
              <w:rPr>
                <w:rFonts w:hint="eastAsia" w:ascii="仿宋_GB2312" w:hAnsi="仿宋_GB2312" w:eastAsia="仿宋_GB2312" w:cs="仿宋_GB2312"/>
                <w:sz w:val="24"/>
              </w:rPr>
              <w:t>得1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最高</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2.使用再生纸、</w:t>
            </w:r>
            <w:r>
              <w:rPr>
                <w:rFonts w:hint="eastAsia" w:ascii="仿宋_GB2312" w:hAnsi="仿宋_GB2312" w:eastAsia="仿宋_GB2312" w:cs="仿宋_GB2312"/>
                <w:sz w:val="24"/>
                <w:lang w:eastAsia="zh-CN"/>
              </w:rPr>
              <w:t>再生笔、</w:t>
            </w:r>
            <w:bookmarkStart w:id="0" w:name="_GoBack"/>
            <w:bookmarkEnd w:id="0"/>
            <w:r>
              <w:rPr>
                <w:rFonts w:hint="eastAsia" w:ascii="仿宋_GB2312" w:hAnsi="仿宋_GB2312" w:eastAsia="仿宋_GB2312" w:cs="仿宋_GB2312"/>
                <w:sz w:val="24"/>
              </w:rPr>
              <w:t>再生耗材等循环再生办公用品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落实一项得1分</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最高得</w:t>
            </w:r>
            <w:r>
              <w:rPr>
                <w:rFonts w:hint="eastAsia" w:ascii="仿宋_GB2312" w:hAnsi="仿宋_GB2312" w:eastAsia="仿宋_GB2312" w:cs="仿宋_GB2312"/>
                <w:sz w:val="24"/>
                <w:lang w:val="en-US" w:eastAsia="zh-CN"/>
              </w:rPr>
              <w:t>3分。</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3.限制使用一次性办公用品得2分</w:t>
            </w:r>
            <w:r>
              <w:rPr>
                <w:rFonts w:hint="eastAsia" w:ascii="仿宋_GB2312" w:hAnsi="仿宋_GB2312" w:eastAsia="仿宋_GB2312" w:cs="仿宋_GB2312"/>
                <w:sz w:val="24"/>
                <w:lang w:eastAsia="zh-CN"/>
              </w:rPr>
              <w:t>。</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4.停止使用不可降解一次性塑料制品得2分</w:t>
            </w:r>
            <w:r>
              <w:rPr>
                <w:rFonts w:hint="eastAsia" w:ascii="仿宋_GB2312" w:hAnsi="仿宋_GB2312" w:eastAsia="仿宋_GB2312" w:cs="仿宋_GB2312"/>
                <w:sz w:val="24"/>
                <w:lang w:eastAsia="zh-CN"/>
              </w:rPr>
              <w:t>。</w:t>
            </w:r>
          </w:p>
        </w:tc>
        <w:tc>
          <w:tcPr>
            <w:tcW w:w="930" w:type="dxa"/>
            <w:vMerge w:val="restart"/>
            <w:vAlign w:val="center"/>
          </w:tcPr>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27分</w:t>
            </w: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分类投放</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分）</w:t>
            </w:r>
          </w:p>
        </w:tc>
        <w:tc>
          <w:tcPr>
            <w:tcW w:w="3195" w:type="dxa"/>
            <w:vAlign w:val="center"/>
          </w:tcPr>
          <w:p>
            <w:pPr>
              <w:numPr>
                <w:ilvl w:val="0"/>
                <w:numId w:val="0"/>
              </w:num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按规定合理投放生活垃圾</w:t>
            </w:r>
          </w:p>
        </w:tc>
        <w:tc>
          <w:tcPr>
            <w:tcW w:w="5775" w:type="dxa"/>
          </w:tcPr>
          <w:p>
            <w:pPr>
              <w:numPr>
                <w:ilvl w:val="0"/>
                <w:numId w:val="4"/>
              </w:numPr>
              <w:spacing w:line="30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按生活垃圾分类标准合理配置垃圾分类容器设施得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r>
              <w:rPr>
                <w:rFonts w:hint="eastAsia" w:ascii="仿宋_GB2312" w:hAnsi="仿宋_GB2312" w:eastAsia="仿宋_GB2312" w:cs="仿宋_GB2312"/>
                <w:color w:val="000000"/>
                <w:sz w:val="24"/>
                <w:lang w:val="en-US" w:eastAsia="zh-CN"/>
              </w:rPr>
              <w:t>。</w:t>
            </w:r>
          </w:p>
          <w:p>
            <w:pPr>
              <w:numPr>
                <w:ilvl w:val="0"/>
                <w:numId w:val="4"/>
              </w:num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垃圾集中投放点张贴垃圾分类投放指南，得</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分。</w:t>
            </w:r>
          </w:p>
          <w:p>
            <w:pPr>
              <w:numPr>
                <w:ilvl w:val="0"/>
                <w:numId w:val="0"/>
              </w:num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干部职工分类投放生活垃圾得</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分</w:t>
            </w:r>
            <w:r>
              <w:rPr>
                <w:rFonts w:hint="eastAsia" w:ascii="仿宋_GB2312" w:hAnsi="仿宋_GB2312" w:eastAsia="仿宋_GB2312" w:cs="仿宋_GB2312"/>
                <w:color w:val="000000"/>
                <w:sz w:val="24"/>
                <w:lang w:val="en-US" w:eastAsia="zh-CN"/>
              </w:rPr>
              <w:t>。</w:t>
            </w:r>
          </w:p>
        </w:tc>
        <w:tc>
          <w:tcPr>
            <w:tcW w:w="930" w:type="dxa"/>
            <w:vMerge w:val="continue"/>
          </w:tcPr>
          <w:p>
            <w:pPr>
              <w:spacing w:line="300" w:lineRule="exact"/>
              <w:rPr>
                <w:rFonts w:hint="eastAsia" w:ascii="仿宋_GB2312" w:hAnsi="仿宋_GB2312" w:eastAsia="仿宋_GB2312" w:cs="仿宋_GB2312"/>
                <w:sz w:val="24"/>
                <w:lang w:val="en-US" w:eastAsia="zh-CN"/>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分类收运</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10分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p>
        </w:tc>
        <w:tc>
          <w:tcPr>
            <w:tcW w:w="3195" w:type="dxa"/>
            <w:vAlign w:val="center"/>
          </w:tcPr>
          <w:p>
            <w:pPr>
              <w:pStyle w:val="7"/>
              <w:spacing w:line="300" w:lineRule="exact"/>
              <w:ind w:firstLine="0" w:firstLineChars="0"/>
              <w:rPr>
                <w:rFonts w:ascii="仿宋_GB2312" w:hAnsi="仿宋_GB2312" w:eastAsia="仿宋_GB2312" w:cs="仿宋_GB2312"/>
                <w:color w:val="000000"/>
                <w:sz w:val="24"/>
                <w:szCs w:val="24"/>
              </w:rPr>
            </w:pPr>
          </w:p>
          <w:p>
            <w:pPr>
              <w:spacing w:line="3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按规定对生活垃圾进行分类收运和处置</w:t>
            </w:r>
          </w:p>
        </w:tc>
        <w:tc>
          <w:tcPr>
            <w:tcW w:w="5775" w:type="dxa"/>
          </w:tcPr>
          <w:p>
            <w:pPr>
              <w:pStyle w:val="7"/>
              <w:numPr>
                <w:ilvl w:val="0"/>
                <w:numId w:val="5"/>
              </w:numPr>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有害垃圾单独存放</w:t>
            </w:r>
            <w:r>
              <w:rPr>
                <w:rFonts w:hint="eastAsia" w:ascii="仿宋_GB2312" w:hAnsi="仿宋_GB2312" w:eastAsia="仿宋_GB2312" w:cs="仿宋_GB2312"/>
                <w:color w:val="000000"/>
                <w:sz w:val="24"/>
                <w:szCs w:val="24"/>
                <w:lang w:eastAsia="zh-CN"/>
              </w:rPr>
              <w:t>得</w:t>
            </w:r>
            <w:r>
              <w:rPr>
                <w:rFonts w:hint="eastAsia" w:ascii="仿宋_GB2312" w:hAnsi="仿宋_GB2312" w:eastAsia="仿宋_GB2312" w:cs="仿宋_GB2312"/>
                <w:color w:val="000000"/>
                <w:sz w:val="24"/>
                <w:szCs w:val="24"/>
                <w:lang w:val="en-US" w:eastAsia="zh-CN"/>
              </w:rPr>
              <w:t>1.5分；</w:t>
            </w:r>
            <w:r>
              <w:rPr>
                <w:rFonts w:hint="eastAsia" w:ascii="仿宋_GB2312" w:hAnsi="仿宋_GB2312" w:eastAsia="仿宋_GB2312" w:cs="仿宋_GB2312"/>
                <w:color w:val="000000"/>
                <w:sz w:val="24"/>
                <w:szCs w:val="24"/>
              </w:rPr>
              <w:t>与具备处理资质的企业签订收运处置协议得</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分。</w:t>
            </w:r>
          </w:p>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2.可回收物统一回收，与具备回收资质的企业签订收运处置协议</w:t>
            </w:r>
            <w:r>
              <w:rPr>
                <w:rFonts w:hint="eastAsia" w:ascii="仿宋_GB2312" w:hAnsi="仿宋_GB2312" w:eastAsia="仿宋_GB2312" w:cs="仿宋_GB2312"/>
                <w:color w:val="000000"/>
                <w:sz w:val="24"/>
                <w:szCs w:val="24"/>
                <w:lang w:eastAsia="zh-CN"/>
              </w:rPr>
              <w:t>得</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3.餐厨垃圾按国家及属地要求规范处置得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r>
              <w:rPr>
                <w:rFonts w:hint="eastAsia" w:ascii="仿宋_GB2312" w:hAnsi="仿宋_GB2312" w:eastAsia="仿宋_GB2312" w:cs="仿宋_GB2312"/>
                <w:color w:val="000000"/>
                <w:sz w:val="24"/>
                <w:lang w:eastAsia="zh-CN"/>
              </w:rPr>
              <w:t>。</w:t>
            </w:r>
          </w:p>
          <w:p>
            <w:pPr>
              <w:spacing w:line="300" w:lineRule="exact"/>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建立垃圾分类清运台账得</w:t>
            </w:r>
            <w:r>
              <w:rPr>
                <w:rFonts w:hint="eastAsia" w:ascii="仿宋_GB2312" w:hAnsi="仿宋_GB2312" w:eastAsia="仿宋_GB2312" w:cs="仿宋_GB2312"/>
                <w:color w:val="000000"/>
                <w:sz w:val="24"/>
                <w:lang w:val="en-US" w:eastAsia="zh-CN"/>
              </w:rPr>
              <w:t>1分；定期公示垃圾清运量得1分。</w:t>
            </w:r>
          </w:p>
        </w:tc>
        <w:tc>
          <w:tcPr>
            <w:tcW w:w="930" w:type="dxa"/>
            <w:vMerge w:val="continue"/>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Merge w:val="restar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320"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开</w:t>
            </w:r>
          </w:p>
          <w:p>
            <w:pPr>
              <w:jc w:val="center"/>
              <w:rPr>
                <w:rFonts w:ascii="仿宋_GB2312" w:hAnsi="仿宋_GB2312" w:eastAsia="仿宋_GB2312" w:cs="仿宋_GB2312"/>
                <w:sz w:val="24"/>
              </w:rPr>
            </w:pPr>
            <w:r>
              <w:rPr>
                <w:rFonts w:hint="eastAsia" w:ascii="仿宋_GB2312" w:hAnsi="仿宋_GB2312" w:eastAsia="仿宋_GB2312" w:cs="仿宋_GB2312"/>
                <w:sz w:val="24"/>
              </w:rPr>
              <w:t>展</w:t>
            </w:r>
          </w:p>
          <w:p>
            <w:pPr>
              <w:jc w:val="center"/>
              <w:rPr>
                <w:rFonts w:ascii="仿宋_GB2312" w:hAnsi="仿宋_GB2312" w:eastAsia="仿宋_GB2312" w:cs="仿宋_GB2312"/>
                <w:sz w:val="24"/>
              </w:rPr>
            </w:pPr>
            <w:r>
              <w:rPr>
                <w:rFonts w:hint="eastAsia" w:ascii="仿宋_GB2312" w:hAnsi="仿宋_GB2312" w:eastAsia="仿宋_GB2312" w:cs="仿宋_GB2312"/>
                <w:sz w:val="24"/>
              </w:rPr>
              <w:t>宣</w:t>
            </w:r>
          </w:p>
          <w:p>
            <w:pPr>
              <w:jc w:val="center"/>
              <w:rPr>
                <w:rFonts w:ascii="仿宋_GB2312" w:hAnsi="仿宋_GB2312" w:eastAsia="仿宋_GB2312" w:cs="仿宋_GB2312"/>
                <w:sz w:val="24"/>
              </w:rPr>
            </w:pPr>
            <w:r>
              <w:rPr>
                <w:rFonts w:hint="eastAsia" w:ascii="仿宋_GB2312" w:hAnsi="仿宋_GB2312" w:eastAsia="仿宋_GB2312" w:cs="仿宋_GB2312"/>
                <w:sz w:val="24"/>
              </w:rPr>
              <w:t>传</w:t>
            </w:r>
          </w:p>
          <w:p>
            <w:pPr>
              <w:jc w:val="center"/>
              <w:rPr>
                <w:rFonts w:ascii="仿宋_GB2312" w:hAnsi="仿宋_GB2312" w:eastAsia="仿宋_GB2312" w:cs="仿宋_GB2312"/>
                <w:sz w:val="24"/>
              </w:rPr>
            </w:pPr>
            <w:r>
              <w:rPr>
                <w:rFonts w:hint="eastAsia" w:ascii="仿宋_GB2312" w:hAnsi="仿宋_GB2312" w:eastAsia="仿宋_GB2312" w:cs="仿宋_GB2312"/>
                <w:sz w:val="24"/>
              </w:rPr>
              <w:t>教</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育</w:t>
            </w: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宣传实践</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分）</w:t>
            </w:r>
          </w:p>
        </w:tc>
        <w:tc>
          <w:tcPr>
            <w:tcW w:w="3195" w:type="dxa"/>
            <w:vAlign w:val="center"/>
          </w:tcPr>
          <w:p>
            <w:pPr>
              <w:spacing w:line="3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开展多种形式节约能源资源宣传</w:t>
            </w:r>
          </w:p>
        </w:tc>
        <w:tc>
          <w:tcPr>
            <w:tcW w:w="5775" w:type="dxa"/>
          </w:tcPr>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1.结合全国节能宣传周、全国低碳日、世界水日、中国水周等活动，组织开展形式多样的宣传实践活动。</w:t>
            </w:r>
            <w:r>
              <w:rPr>
                <w:rFonts w:hint="eastAsia" w:ascii="仿宋_GB2312" w:hAnsi="仿宋_GB2312" w:eastAsia="仿宋_GB2312" w:cs="仿宋_GB2312"/>
                <w:color w:val="000000"/>
                <w:sz w:val="24"/>
                <w:szCs w:val="24"/>
                <w:lang w:eastAsia="zh-CN"/>
              </w:rPr>
              <w:t>每</w:t>
            </w:r>
            <w:r>
              <w:rPr>
                <w:rFonts w:hint="eastAsia" w:ascii="仿宋_GB2312" w:hAnsi="仿宋_GB2312" w:eastAsia="仿宋_GB2312" w:cs="仿宋_GB2312"/>
                <w:color w:val="000000"/>
                <w:sz w:val="24"/>
                <w:szCs w:val="24"/>
                <w:lang w:val="en-US" w:eastAsia="zh-CN"/>
              </w:rPr>
              <w:t>项活动</w:t>
            </w:r>
            <w:r>
              <w:rPr>
                <w:rFonts w:hint="eastAsia" w:ascii="仿宋_GB2312" w:hAnsi="仿宋_GB2312" w:eastAsia="仿宋_GB2312" w:cs="仿宋_GB2312"/>
                <w:color w:val="000000"/>
                <w:sz w:val="24"/>
                <w:szCs w:val="24"/>
              </w:rPr>
              <w:t>得</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分，</w:t>
            </w:r>
            <w:r>
              <w:rPr>
                <w:rFonts w:hint="eastAsia" w:ascii="仿宋_GB2312" w:hAnsi="仿宋_GB2312" w:eastAsia="仿宋_GB2312" w:cs="仿宋_GB2312"/>
                <w:color w:val="000000"/>
                <w:sz w:val="24"/>
                <w:szCs w:val="24"/>
                <w:lang w:eastAsia="zh-CN"/>
              </w:rPr>
              <w:t>最高得</w:t>
            </w:r>
            <w:r>
              <w:rPr>
                <w:rFonts w:hint="eastAsia" w:ascii="仿宋_GB2312" w:hAnsi="仿宋_GB2312" w:eastAsia="仿宋_GB2312" w:cs="仿宋_GB2312"/>
                <w:color w:val="000000"/>
                <w:sz w:val="24"/>
                <w:szCs w:val="24"/>
                <w:lang w:val="en-US" w:eastAsia="zh-CN"/>
              </w:rPr>
              <w:t>4分。</w:t>
            </w:r>
          </w:p>
          <w:p>
            <w:pPr>
              <w:pStyle w:val="7"/>
              <w:spacing w:line="300" w:lineRule="exact"/>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2.张贴设备节电、随手关灯、节约用水、减少使用电梯、空调温度设定、垃圾分类投放等提醒标识。</w:t>
            </w:r>
            <w:r>
              <w:rPr>
                <w:rFonts w:hint="eastAsia" w:ascii="仿宋_GB2312" w:hAnsi="仿宋_GB2312" w:eastAsia="仿宋_GB2312" w:cs="仿宋_GB2312"/>
                <w:color w:val="000000"/>
                <w:sz w:val="24"/>
                <w:szCs w:val="24"/>
                <w:lang w:eastAsia="zh-CN"/>
              </w:rPr>
              <w:t>每项得</w:t>
            </w:r>
            <w:r>
              <w:rPr>
                <w:rFonts w:hint="eastAsia" w:ascii="仿宋_GB2312" w:hAnsi="仿宋_GB2312" w:eastAsia="仿宋_GB2312" w:cs="仿宋_GB2312"/>
                <w:color w:val="000000"/>
                <w:sz w:val="24"/>
                <w:szCs w:val="24"/>
                <w:lang w:val="en-US" w:eastAsia="zh-CN"/>
              </w:rPr>
              <w:t>1分，最高得4分。</w:t>
            </w:r>
          </w:p>
          <w:p>
            <w:pPr>
              <w:spacing w:line="300" w:lineRule="exact"/>
              <w:rPr>
                <w:rFonts w:ascii="仿宋_GB2312" w:hAnsi="仿宋_GB2312" w:eastAsia="仿宋_GB2312" w:cs="仿宋_GB2312"/>
                <w:sz w:val="24"/>
              </w:rPr>
            </w:pPr>
            <w:r>
              <w:rPr>
                <w:rFonts w:hint="eastAsia" w:ascii="仿宋_GB2312" w:hAnsi="仿宋_GB2312" w:eastAsia="仿宋_GB2312" w:cs="仿宋_GB2312"/>
                <w:color w:val="000000"/>
                <w:sz w:val="24"/>
              </w:rPr>
              <w:t>3.在新闻媒体或主管部门宣传平台报道本单位节约能源资源经验做法</w:t>
            </w:r>
            <w:r>
              <w:rPr>
                <w:rFonts w:hint="eastAsia" w:ascii="仿宋_GB2312" w:hAnsi="仿宋_GB2312" w:eastAsia="仿宋_GB2312" w:cs="仿宋_GB2312"/>
                <w:color w:val="000000"/>
                <w:sz w:val="24"/>
                <w:lang w:eastAsia="zh-CN"/>
              </w:rPr>
              <w:t>，每次</w:t>
            </w:r>
            <w:r>
              <w:rPr>
                <w:rFonts w:hint="eastAsia" w:ascii="仿宋_GB2312" w:hAnsi="仿宋_GB2312" w:eastAsia="仿宋_GB2312" w:cs="仿宋_GB2312"/>
                <w:color w:val="000000"/>
                <w:sz w:val="24"/>
                <w:lang w:val="en-US" w:eastAsia="zh-CN"/>
              </w:rPr>
              <w:t>1.5分，最高</w:t>
            </w:r>
            <w:r>
              <w:rPr>
                <w:rFonts w:hint="eastAsia" w:ascii="仿宋_GB2312" w:hAnsi="仿宋_GB2312" w:eastAsia="仿宋_GB2312" w:cs="仿宋_GB2312"/>
                <w:color w:val="000000"/>
                <w:sz w:val="24"/>
              </w:rPr>
              <w:t>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p>
        </w:tc>
        <w:tc>
          <w:tcPr>
            <w:tcW w:w="930" w:type="dxa"/>
            <w:vMerge w:val="restart"/>
            <w:vAlign w:val="center"/>
          </w:tcPr>
          <w:p>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17分</w:t>
            </w: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796" w:type="dxa"/>
            <w:vMerge w:val="continue"/>
          </w:tcPr>
          <w:p>
            <w:pPr>
              <w:spacing w:line="300" w:lineRule="exact"/>
              <w:rPr>
                <w:rFonts w:ascii="仿宋_GB2312" w:hAnsi="仿宋_GB2312" w:eastAsia="仿宋_GB2312" w:cs="仿宋_GB2312"/>
                <w:sz w:val="24"/>
              </w:rPr>
            </w:pPr>
          </w:p>
        </w:tc>
        <w:tc>
          <w:tcPr>
            <w:tcW w:w="1320" w:type="dxa"/>
            <w:vMerge w:val="continue"/>
          </w:tcPr>
          <w:p>
            <w:pPr>
              <w:rPr>
                <w:rFonts w:ascii="仿宋_GB2312" w:hAnsi="仿宋_GB2312" w:eastAsia="仿宋_GB2312" w:cs="仿宋_GB2312"/>
                <w:sz w:val="24"/>
              </w:rPr>
            </w:pPr>
          </w:p>
        </w:tc>
        <w:tc>
          <w:tcPr>
            <w:tcW w:w="1409"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教育培训</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分）</w:t>
            </w:r>
          </w:p>
        </w:tc>
        <w:tc>
          <w:tcPr>
            <w:tcW w:w="3195" w:type="dxa"/>
            <w:vAlign w:val="center"/>
          </w:tcPr>
          <w:p>
            <w:pPr>
              <w:numPr>
                <w:ilvl w:val="0"/>
                <w:numId w:val="0"/>
              </w:numPr>
              <w:spacing w:line="300" w:lineRule="exact"/>
              <w:jc w:val="both"/>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组织对能源管理和运行人员的节能培训</w:t>
            </w:r>
          </w:p>
        </w:tc>
        <w:tc>
          <w:tcPr>
            <w:tcW w:w="5775" w:type="dxa"/>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1.将</w:t>
            </w:r>
            <w:r>
              <w:rPr>
                <w:rFonts w:hint="eastAsia" w:ascii="仿宋_GB2312" w:hAnsi="仿宋_GB2312" w:eastAsia="仿宋_GB2312" w:cs="仿宋_GB2312"/>
                <w:color w:val="000000"/>
                <w:sz w:val="24"/>
                <w:lang w:eastAsia="zh-CN"/>
              </w:rPr>
              <w:t>绿色发展、</w:t>
            </w:r>
            <w:r>
              <w:rPr>
                <w:rFonts w:hint="eastAsia" w:ascii="仿宋_GB2312" w:hAnsi="仿宋_GB2312" w:eastAsia="仿宋_GB2312" w:cs="仿宋_GB2312"/>
                <w:color w:val="000000"/>
                <w:sz w:val="24"/>
              </w:rPr>
              <w:t>节能、节水、垃圾分类等内容纳入干部职工培训体系</w:t>
            </w:r>
            <w:r>
              <w:rPr>
                <w:rFonts w:hint="eastAsia" w:ascii="仿宋_GB2312" w:hAnsi="仿宋_GB2312" w:eastAsia="仿宋_GB2312" w:cs="仿宋_GB2312"/>
                <w:color w:val="000000"/>
                <w:sz w:val="24"/>
                <w:lang w:val="en-US" w:eastAsia="zh-CN"/>
              </w:rPr>
              <w:t>,每项得1分，最高</w:t>
            </w:r>
            <w:r>
              <w:rPr>
                <w:rFonts w:hint="eastAsia" w:ascii="仿宋_GB2312" w:hAnsi="仿宋_GB2312" w:eastAsia="仿宋_GB2312" w:cs="仿宋_GB2312"/>
                <w:color w:val="000000"/>
                <w:sz w:val="24"/>
              </w:rPr>
              <w:t>得</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w:t>
            </w:r>
          </w:p>
          <w:p>
            <w:pPr>
              <w:spacing w:line="300" w:lineRule="exact"/>
              <w:rPr>
                <w:rFonts w:ascii="仿宋_GB2312" w:hAnsi="仿宋_GB2312" w:eastAsia="仿宋_GB2312" w:cs="仿宋_GB2312"/>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每年</w:t>
            </w:r>
            <w:r>
              <w:rPr>
                <w:rFonts w:hint="eastAsia" w:ascii="仿宋_GB2312" w:hAnsi="仿宋_GB2312" w:eastAsia="仿宋_GB2312" w:cs="仿宋_GB2312"/>
                <w:color w:val="000000"/>
                <w:sz w:val="24"/>
              </w:rPr>
              <w:t>举办面向干部职工的节能低碳等生态文明建设知识讲座、岗位培训等教育培训活动</w:t>
            </w:r>
            <w:r>
              <w:rPr>
                <w:rFonts w:hint="eastAsia" w:ascii="仿宋_GB2312" w:hAnsi="仿宋_GB2312" w:eastAsia="仿宋_GB2312" w:cs="仿宋_GB2312"/>
                <w:color w:val="000000"/>
                <w:sz w:val="24"/>
                <w:lang w:eastAsia="zh-CN"/>
              </w:rPr>
              <w:t>，每次</w:t>
            </w:r>
            <w:r>
              <w:rPr>
                <w:rFonts w:hint="eastAsia" w:ascii="仿宋_GB2312" w:hAnsi="仿宋_GB2312" w:eastAsia="仿宋_GB2312" w:cs="仿宋_GB2312"/>
                <w:color w:val="000000"/>
                <w:sz w:val="24"/>
              </w:rPr>
              <w:t>得</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分</w:t>
            </w:r>
            <w:r>
              <w:rPr>
                <w:rFonts w:hint="eastAsia" w:ascii="仿宋_GB2312" w:hAnsi="仿宋_GB2312" w:eastAsia="仿宋_GB2312" w:cs="仿宋_GB2312"/>
                <w:color w:val="000000"/>
                <w:sz w:val="24"/>
                <w:lang w:eastAsia="zh-CN"/>
              </w:rPr>
              <w:t>，最高</w:t>
            </w:r>
            <w:r>
              <w:rPr>
                <w:rFonts w:hint="eastAsia" w:ascii="仿宋_GB2312" w:hAnsi="仿宋_GB2312" w:eastAsia="仿宋_GB2312" w:cs="仿宋_GB2312"/>
                <w:color w:val="000000"/>
                <w:sz w:val="24"/>
                <w:lang w:val="en-US" w:eastAsia="zh-CN"/>
              </w:rPr>
              <w:t>3分</w:t>
            </w:r>
            <w:r>
              <w:rPr>
                <w:rFonts w:hint="eastAsia" w:ascii="仿宋_GB2312" w:hAnsi="仿宋_GB2312" w:eastAsia="仿宋_GB2312" w:cs="仿宋_GB2312"/>
                <w:color w:val="000000"/>
                <w:sz w:val="24"/>
              </w:rPr>
              <w:t>。</w:t>
            </w:r>
          </w:p>
        </w:tc>
        <w:tc>
          <w:tcPr>
            <w:tcW w:w="930" w:type="dxa"/>
            <w:vMerge w:val="continue"/>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525" w:type="dxa"/>
            <w:gridSpan w:val="3"/>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累计评价得分</w:t>
            </w:r>
          </w:p>
        </w:tc>
        <w:tc>
          <w:tcPr>
            <w:tcW w:w="9900" w:type="dxa"/>
            <w:gridSpan w:val="3"/>
          </w:tcPr>
          <w:p>
            <w:pPr>
              <w:spacing w:line="300" w:lineRule="exact"/>
              <w:rPr>
                <w:rFonts w:ascii="仿宋_GB2312" w:hAnsi="仿宋_GB2312" w:eastAsia="仿宋_GB2312" w:cs="仿宋_GB2312"/>
                <w:sz w:val="24"/>
              </w:rPr>
            </w:pPr>
          </w:p>
        </w:tc>
        <w:tc>
          <w:tcPr>
            <w:tcW w:w="825" w:type="dxa"/>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525" w:type="dxa"/>
            <w:gridSpan w:val="3"/>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备    注</w:t>
            </w:r>
          </w:p>
        </w:tc>
        <w:tc>
          <w:tcPr>
            <w:tcW w:w="10725" w:type="dxa"/>
            <w:gridSpan w:val="4"/>
            <w:vAlign w:val="center"/>
          </w:tcPr>
          <w:p>
            <w:pPr>
              <w:numPr>
                <w:ilvl w:val="0"/>
                <w:numId w:val="0"/>
              </w:numPr>
              <w:spacing w:line="3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总分设置</w:t>
            </w:r>
            <w:r>
              <w:rPr>
                <w:rFonts w:hint="eastAsia" w:ascii="仿宋_GB2312" w:hAnsi="仿宋_GB2312" w:eastAsia="仿宋_GB2312" w:cs="仿宋_GB2312"/>
                <w:sz w:val="24"/>
                <w:lang w:val="en-US" w:eastAsia="zh-CN"/>
              </w:rPr>
              <w:t>100分，</w:t>
            </w:r>
            <w:r>
              <w:rPr>
                <w:rFonts w:hint="eastAsia" w:ascii="仿宋_GB2312" w:hAnsi="仿宋_GB2312" w:eastAsia="仿宋_GB2312" w:cs="仿宋_GB2312"/>
                <w:sz w:val="24"/>
              </w:rPr>
              <w:t>得分8</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分以上即为达标。</w:t>
            </w:r>
          </w:p>
        </w:tc>
      </w:tr>
    </w:tbl>
    <w:p/>
    <w:tbl>
      <w:tblPr>
        <w:tblStyle w:val="6"/>
        <w:tblpPr w:leftFromText="180" w:rightFromText="180" w:vertAnchor="text" w:tblpX="15506" w:tblpY="-5557"/>
        <w:tblOverlap w:val="never"/>
        <w:tblW w:w="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950" w:type="dxa"/>
          </w:tcPr>
          <w:p>
            <w:pPr>
              <w:rPr>
                <w:rFonts w:ascii="华文中宋" w:hAnsi="华文中宋" w:eastAsia="华文中宋" w:cs="华文中宋"/>
                <w:sz w:val="24"/>
                <w:vertAlign w:val="baseline"/>
              </w:rPr>
            </w:pPr>
          </w:p>
        </w:tc>
      </w:tr>
    </w:tbl>
    <w:p>
      <w:pPr>
        <w:rPr>
          <w:rFonts w:ascii="华文中宋" w:hAnsi="华文中宋" w:eastAsia="华文中宋" w:cs="华文中宋"/>
          <w:sz w:val="24"/>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69563"/>
    <w:multiLevelType w:val="singleLevel"/>
    <w:tmpl w:val="5EA69563"/>
    <w:lvl w:ilvl="0" w:tentative="0">
      <w:start w:val="1"/>
      <w:numFmt w:val="decimal"/>
      <w:suff w:val="nothing"/>
      <w:lvlText w:val="%1."/>
      <w:lvlJc w:val="left"/>
    </w:lvl>
  </w:abstractNum>
  <w:abstractNum w:abstractNumId="1">
    <w:nsid w:val="5EA695E1"/>
    <w:multiLevelType w:val="singleLevel"/>
    <w:tmpl w:val="5EA695E1"/>
    <w:lvl w:ilvl="0" w:tentative="0">
      <w:start w:val="3"/>
      <w:numFmt w:val="decimal"/>
      <w:suff w:val="nothing"/>
      <w:lvlText w:val="%1."/>
      <w:lvlJc w:val="left"/>
    </w:lvl>
  </w:abstractNum>
  <w:abstractNum w:abstractNumId="2">
    <w:nsid w:val="5EA6997C"/>
    <w:multiLevelType w:val="singleLevel"/>
    <w:tmpl w:val="5EA6997C"/>
    <w:lvl w:ilvl="0" w:tentative="0">
      <w:start w:val="1"/>
      <w:numFmt w:val="decimal"/>
      <w:suff w:val="nothing"/>
      <w:lvlText w:val="%1."/>
      <w:lvlJc w:val="left"/>
    </w:lvl>
  </w:abstractNum>
  <w:abstractNum w:abstractNumId="3">
    <w:nsid w:val="5EB20919"/>
    <w:multiLevelType w:val="singleLevel"/>
    <w:tmpl w:val="5EB20919"/>
    <w:lvl w:ilvl="0" w:tentative="0">
      <w:start w:val="1"/>
      <w:numFmt w:val="decimal"/>
      <w:suff w:val="nothing"/>
      <w:lvlText w:val="%1."/>
      <w:lvlJc w:val="left"/>
    </w:lvl>
  </w:abstractNum>
  <w:abstractNum w:abstractNumId="4">
    <w:nsid w:val="5EBB6246"/>
    <w:multiLevelType w:val="singleLevel"/>
    <w:tmpl w:val="5EBB624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259E2"/>
    <w:rsid w:val="0021388A"/>
    <w:rsid w:val="008A1758"/>
    <w:rsid w:val="01503F7C"/>
    <w:rsid w:val="022E44F9"/>
    <w:rsid w:val="04356183"/>
    <w:rsid w:val="06E75C47"/>
    <w:rsid w:val="0A5F7128"/>
    <w:rsid w:val="0DFB2DDB"/>
    <w:rsid w:val="0DFB7913"/>
    <w:rsid w:val="0EE16CDD"/>
    <w:rsid w:val="14786009"/>
    <w:rsid w:val="15F61333"/>
    <w:rsid w:val="19F6413D"/>
    <w:rsid w:val="1B3F4D69"/>
    <w:rsid w:val="1D537641"/>
    <w:rsid w:val="20A429B3"/>
    <w:rsid w:val="21462662"/>
    <w:rsid w:val="22986F33"/>
    <w:rsid w:val="277F3C5F"/>
    <w:rsid w:val="27B259E2"/>
    <w:rsid w:val="2F627B99"/>
    <w:rsid w:val="333E4384"/>
    <w:rsid w:val="35255C97"/>
    <w:rsid w:val="3B7B1784"/>
    <w:rsid w:val="43093127"/>
    <w:rsid w:val="43CD07F2"/>
    <w:rsid w:val="4824670D"/>
    <w:rsid w:val="48D70257"/>
    <w:rsid w:val="48E27B30"/>
    <w:rsid w:val="497D3C34"/>
    <w:rsid w:val="4DE52C3F"/>
    <w:rsid w:val="502D0936"/>
    <w:rsid w:val="58D50E18"/>
    <w:rsid w:val="5AF92AFD"/>
    <w:rsid w:val="5B764A73"/>
    <w:rsid w:val="5BD84E83"/>
    <w:rsid w:val="5D3208C8"/>
    <w:rsid w:val="5E8A5706"/>
    <w:rsid w:val="5F5A255B"/>
    <w:rsid w:val="60E27302"/>
    <w:rsid w:val="61790F11"/>
    <w:rsid w:val="61DF3D0B"/>
    <w:rsid w:val="61F32D29"/>
    <w:rsid w:val="632155CB"/>
    <w:rsid w:val="6434273A"/>
    <w:rsid w:val="6629428F"/>
    <w:rsid w:val="6D02744A"/>
    <w:rsid w:val="6E861114"/>
    <w:rsid w:val="74924333"/>
    <w:rsid w:val="74BB776E"/>
    <w:rsid w:val="751D4E11"/>
    <w:rsid w:val="755A42C8"/>
    <w:rsid w:val="782A6119"/>
    <w:rsid w:val="79BC66EE"/>
    <w:rsid w:val="7D5D0818"/>
    <w:rsid w:val="7D6F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2020-04-22T02:19:00Z</dcterms:created>
  <dc:creator>Administrator</dc:creator>
  <cp:lastModifiedBy>Administrator</cp:lastModifiedBy>
  <cp:lastPrinted>2020-05-06T07:37:00Z</cp:lastPrinted>
  <dcterms:modified xsi:type="dcterms:W3CDTF">2020-05-18T03:04:54Z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